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仿宋" w:hAnsi="仿宋" w:eastAsia="仿宋" w:cs="仿宋"/>
          <w:spacing w:val="-6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82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价单</w:t>
      </w:r>
    </w:p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/>
        <w:jc w:val="both"/>
        <w:textAlignment w:val="baseline"/>
        <w:rPr>
          <w:rFonts w:hint="eastAsia" w:ascii="仿宋_GB2312" w:hAnsi="仿宋_GB2312" w:eastAsia="仿宋_GB2312" w:cs="仿宋_GB2312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价单位(盖章)：</w:t>
      </w:r>
    </w:p>
    <w:tbl>
      <w:tblPr>
        <w:tblStyle w:val="3"/>
        <w:tblW w:w="13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2736"/>
        <w:gridCol w:w="2736"/>
        <w:gridCol w:w="2736"/>
        <w:gridCol w:w="27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境外装货地点</w:t>
            </w:r>
          </w:p>
        </w:tc>
        <w:tc>
          <w:tcPr>
            <w:tcW w:w="8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运输单价（元/吨）</w:t>
            </w:r>
          </w:p>
        </w:tc>
        <w:tc>
          <w:tcPr>
            <w:tcW w:w="2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磨憨（门到门）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景洪地区（门到门）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昆明地区（门到门）</w:t>
            </w:r>
          </w:p>
        </w:tc>
        <w:tc>
          <w:tcPr>
            <w:tcW w:w="2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会晒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波里坎塞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万象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甘蒙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提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1、报价不得高于拦标价，否则按照废标处理，以“10元/吨”为最小调价单位。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2、国内段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开具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 xml:space="preserve"> 9%增值税发票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，国外段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0税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  <w:lang w:eastAsia="zh-CN"/>
        </w:rPr>
        <w:t>运输费不含报关清关费用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32"/>
          <w:szCs w:val="32"/>
          <w:highlight w:val="none"/>
          <w:lang w:val="en-US" w:eastAsia="zh-CN"/>
        </w:rPr>
        <w:t>4、执行过程中运价波动±20%重新议价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napToGrid w:val="0"/>
          <w:color w:val="000000"/>
          <w:spacing w:val="-5"/>
          <w:kern w:val="0"/>
          <w:sz w:val="24"/>
          <w:szCs w:val="2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napToGrid w:val="0"/>
          <w:color w:val="000000"/>
          <w:spacing w:val="-5"/>
          <w:kern w:val="0"/>
          <w:sz w:val="24"/>
          <w:szCs w:val="2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5"/>
          <w:kern w:val="0"/>
          <w:sz w:val="44"/>
          <w:szCs w:val="44"/>
          <w:highlight w:val="none"/>
          <w:lang w:val="en-US" w:eastAsia="zh-CN"/>
        </w:rPr>
      </w:pPr>
    </w:p>
    <w:p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82"/>
        <w:jc w:val="both"/>
        <w:textAlignment w:val="baseline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拦标价</w:t>
      </w:r>
    </w:p>
    <w:tbl>
      <w:tblPr>
        <w:tblStyle w:val="3"/>
        <w:tblW w:w="13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2764"/>
        <w:gridCol w:w="2764"/>
        <w:gridCol w:w="2764"/>
        <w:gridCol w:w="2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境外装货地点</w:t>
            </w:r>
          </w:p>
        </w:tc>
        <w:tc>
          <w:tcPr>
            <w:tcW w:w="82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汽运拦标价（元/吨）</w:t>
            </w:r>
          </w:p>
        </w:tc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磨憨                 （门到门）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景洪地区                     （门到门）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昆明地区                   （门到门）</w:t>
            </w:r>
          </w:p>
        </w:tc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会晒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220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310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波里坎塞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380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460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万象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330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410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甘蒙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430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MjBmN2NlM2ZmMTA4NzBhYTFkZjZlZTkxNzYyNTcifQ=="/>
  </w:docVars>
  <w:rsids>
    <w:rsidRoot w:val="00000000"/>
    <w:rsid w:val="003C3B92"/>
    <w:rsid w:val="04BB57D2"/>
    <w:rsid w:val="0D4528D3"/>
    <w:rsid w:val="11D007C9"/>
    <w:rsid w:val="13BD38DE"/>
    <w:rsid w:val="13FC67C8"/>
    <w:rsid w:val="1B0F4F52"/>
    <w:rsid w:val="250D5886"/>
    <w:rsid w:val="2FB829D9"/>
    <w:rsid w:val="308410CE"/>
    <w:rsid w:val="311E7AF8"/>
    <w:rsid w:val="3E8E531E"/>
    <w:rsid w:val="3EE77B9E"/>
    <w:rsid w:val="3FBE37A3"/>
    <w:rsid w:val="429E0F08"/>
    <w:rsid w:val="46550474"/>
    <w:rsid w:val="47AA5523"/>
    <w:rsid w:val="4B942400"/>
    <w:rsid w:val="4CB726ED"/>
    <w:rsid w:val="51B12E15"/>
    <w:rsid w:val="51E25DA3"/>
    <w:rsid w:val="56501E4C"/>
    <w:rsid w:val="57562AB6"/>
    <w:rsid w:val="5E5246E1"/>
    <w:rsid w:val="5ECA64A1"/>
    <w:rsid w:val="607E218F"/>
    <w:rsid w:val="63C1697C"/>
    <w:rsid w:val="66853278"/>
    <w:rsid w:val="6BC4236D"/>
    <w:rsid w:val="70C62525"/>
    <w:rsid w:val="71C1592F"/>
    <w:rsid w:val="71CE6406"/>
    <w:rsid w:val="73D8518D"/>
    <w:rsid w:val="78AB5F9C"/>
    <w:rsid w:val="79DC56E0"/>
    <w:rsid w:val="7AF3156E"/>
    <w:rsid w:val="7C4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